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59" w:rsidRPr="0083611F" w:rsidRDefault="00202859" w:rsidP="00202859">
      <w:pPr>
        <w:spacing w:after="180" w:line="285" w:lineRule="atLeast"/>
        <w:jc w:val="center"/>
        <w:rPr>
          <w:rFonts w:ascii="Times New Roman" w:eastAsia="Times New Roman" w:hAnsi="Times New Roman" w:cs="Times New Roman"/>
          <w:color w:val="777777"/>
          <w:sz w:val="24"/>
          <w:szCs w:val="24"/>
          <w:lang w:eastAsia="ru-RU"/>
        </w:rPr>
      </w:pPr>
      <w:bookmarkStart w:id="0" w:name="_GoBack"/>
      <w:bookmarkEnd w:id="0"/>
      <w:r w:rsidRPr="0083611F">
        <w:rPr>
          <w:rFonts w:ascii="Times New Roman" w:eastAsia="Times New Roman" w:hAnsi="Times New Roman" w:cs="Times New Roman"/>
          <w:b/>
          <w:bCs/>
          <w:color w:val="777777"/>
          <w:sz w:val="24"/>
          <w:szCs w:val="24"/>
          <w:lang w:eastAsia="ru-RU"/>
        </w:rPr>
        <w:t>Требования к местам установки приборов учета, схемам подключения и метрологическим характеристикам приборов учета</w:t>
      </w:r>
    </w:p>
    <w:p w:rsidR="00202859" w:rsidRPr="0083611F" w:rsidRDefault="00202859" w:rsidP="00202859">
      <w:pPr>
        <w:spacing w:after="180" w:line="285" w:lineRule="atLeast"/>
        <w:jc w:val="center"/>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val="en" w:eastAsia="ru-RU"/>
        </w:rPr>
        <w:t> </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b/>
          <w:bCs/>
          <w:color w:val="777777"/>
          <w:sz w:val="24"/>
          <w:szCs w:val="24"/>
          <w:lang w:eastAsia="ru-RU"/>
        </w:rPr>
        <w:t>Приборы учета</w:t>
      </w:r>
      <w:r w:rsidRPr="0083611F">
        <w:rPr>
          <w:rFonts w:ascii="Times New Roman" w:eastAsia="Times New Roman" w:hAnsi="Times New Roman" w:cs="Times New Roman"/>
          <w:color w:val="777777"/>
          <w:sz w:val="24"/>
          <w:szCs w:val="24"/>
          <w:lang w:eastAsia="ru-RU"/>
        </w:rPr>
        <w:t xml:space="preserve"> - совокупность устройств, обеспечивающих измерение и учет электроэнергии (измерительные трансформаторы тока и напряжения, счетчики электрической энергии, телеметрические датчики, информационно - измерительные системы и их линии связи) и соединенных между собой по установленной схеме.</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b/>
          <w:bCs/>
          <w:color w:val="777777"/>
          <w:sz w:val="24"/>
          <w:szCs w:val="24"/>
          <w:lang w:eastAsia="ru-RU"/>
        </w:rPr>
        <w:t>Счетчик электрической энерги</w:t>
      </w:r>
      <w:proofErr w:type="gramStart"/>
      <w:r w:rsidRPr="0083611F">
        <w:rPr>
          <w:rFonts w:ascii="Times New Roman" w:eastAsia="Times New Roman" w:hAnsi="Times New Roman" w:cs="Times New Roman"/>
          <w:b/>
          <w:bCs/>
          <w:color w:val="777777"/>
          <w:sz w:val="24"/>
          <w:szCs w:val="24"/>
          <w:lang w:eastAsia="ru-RU"/>
        </w:rPr>
        <w:t>и</w:t>
      </w:r>
      <w:r w:rsidRPr="0083611F">
        <w:rPr>
          <w:rFonts w:ascii="Times New Roman" w:eastAsia="Times New Roman" w:hAnsi="Times New Roman" w:cs="Times New Roman"/>
          <w:color w:val="777777"/>
          <w:sz w:val="24"/>
          <w:szCs w:val="24"/>
          <w:lang w:eastAsia="ru-RU"/>
        </w:rPr>
        <w:t>-</w:t>
      </w:r>
      <w:proofErr w:type="gramEnd"/>
      <w:r w:rsidRPr="0083611F">
        <w:rPr>
          <w:rFonts w:ascii="Times New Roman" w:eastAsia="Times New Roman" w:hAnsi="Times New Roman" w:cs="Times New Roman"/>
          <w:color w:val="777777"/>
          <w:sz w:val="24"/>
          <w:szCs w:val="24"/>
          <w:lang w:eastAsia="ru-RU"/>
        </w:rPr>
        <w:t xml:space="preserve"> электроизмерительный прибор, предназначенный для учета потребленной электроэнергии, переменного или постоянного тока. Единицей измерения является кВт/ч или</w:t>
      </w:r>
      <w:proofErr w:type="gramStart"/>
      <w:r w:rsidRPr="0083611F">
        <w:rPr>
          <w:rFonts w:ascii="Times New Roman" w:eastAsia="Times New Roman" w:hAnsi="Times New Roman" w:cs="Times New Roman"/>
          <w:color w:val="777777"/>
          <w:sz w:val="24"/>
          <w:szCs w:val="24"/>
          <w:lang w:eastAsia="ru-RU"/>
        </w:rPr>
        <w:t xml:space="preserve"> А</w:t>
      </w:r>
      <w:proofErr w:type="gramEnd"/>
      <w:r w:rsidRPr="0083611F">
        <w:rPr>
          <w:rFonts w:ascii="Times New Roman" w:eastAsia="Times New Roman" w:hAnsi="Times New Roman" w:cs="Times New Roman"/>
          <w:color w:val="777777"/>
          <w:sz w:val="24"/>
          <w:szCs w:val="24"/>
          <w:lang w:eastAsia="ru-RU"/>
        </w:rPr>
        <w:t>/ч.</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b/>
          <w:bCs/>
          <w:color w:val="777777"/>
          <w:sz w:val="24"/>
          <w:szCs w:val="24"/>
          <w:lang w:eastAsia="ru-RU"/>
        </w:rPr>
        <w:t>Расчетный счетчик электрической энергии</w:t>
      </w:r>
      <w:r w:rsidRPr="0083611F">
        <w:rPr>
          <w:rFonts w:ascii="Times New Roman" w:eastAsia="Times New Roman" w:hAnsi="Times New Roman" w:cs="Times New Roman"/>
          <w:color w:val="777777"/>
          <w:sz w:val="24"/>
          <w:szCs w:val="24"/>
          <w:lang w:eastAsia="ru-RU"/>
        </w:rPr>
        <w:t xml:space="preserve"> - счетчик электрической энергии, предназначенный для коммерческих расчетов между субъектами рынка.</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proofErr w:type="gramStart"/>
      <w:r w:rsidRPr="0083611F">
        <w:rPr>
          <w:rFonts w:ascii="Times New Roman" w:eastAsia="Times New Roman" w:hAnsi="Times New Roman" w:cs="Times New Roman"/>
          <w:color w:val="777777"/>
          <w:sz w:val="24"/>
          <w:szCs w:val="24"/>
          <w:lang w:eastAsia="ru-RU"/>
        </w:rPr>
        <w:t>Потребитель, имеющий намерение установить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w:t>
      </w:r>
      <w:proofErr w:type="gramEnd"/>
      <w:r w:rsidRPr="0083611F">
        <w:rPr>
          <w:rFonts w:ascii="Times New Roman" w:eastAsia="Times New Roman" w:hAnsi="Times New Roman" w:cs="Times New Roman"/>
          <w:color w:val="777777"/>
          <w:sz w:val="24"/>
          <w:szCs w:val="24"/>
          <w:lang w:eastAsia="ru-RU"/>
        </w:rPr>
        <w:t xml:space="preserve"> прибора учета в адрес одной из следующих организаций:</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 гарантирующий поставщик (</w:t>
      </w:r>
      <w:proofErr w:type="spellStart"/>
      <w:r w:rsidRPr="0083611F">
        <w:rPr>
          <w:rFonts w:ascii="Times New Roman" w:eastAsia="Times New Roman" w:hAnsi="Times New Roman" w:cs="Times New Roman"/>
          <w:color w:val="777777"/>
          <w:sz w:val="24"/>
          <w:szCs w:val="24"/>
          <w:lang w:eastAsia="ru-RU"/>
        </w:rPr>
        <w:t>энергосбытовая</w:t>
      </w:r>
      <w:proofErr w:type="spellEnd"/>
      <w:r w:rsidRPr="0083611F">
        <w:rPr>
          <w:rFonts w:ascii="Times New Roman" w:eastAsia="Times New Roman" w:hAnsi="Times New Roman" w:cs="Times New Roman"/>
          <w:color w:val="777777"/>
          <w:sz w:val="24"/>
          <w:szCs w:val="24"/>
          <w:lang w:eastAsia="ru-RU"/>
        </w:rPr>
        <w:t xml:space="preserve">, </w:t>
      </w:r>
      <w:proofErr w:type="spellStart"/>
      <w:r w:rsidRPr="0083611F">
        <w:rPr>
          <w:rFonts w:ascii="Times New Roman" w:eastAsia="Times New Roman" w:hAnsi="Times New Roman" w:cs="Times New Roman"/>
          <w:color w:val="777777"/>
          <w:sz w:val="24"/>
          <w:szCs w:val="24"/>
          <w:lang w:eastAsia="ru-RU"/>
        </w:rPr>
        <w:t>энергоснабжающая</w:t>
      </w:r>
      <w:proofErr w:type="spellEnd"/>
      <w:r w:rsidRPr="0083611F">
        <w:rPr>
          <w:rFonts w:ascii="Times New Roman" w:eastAsia="Times New Roman" w:hAnsi="Times New Roman" w:cs="Times New Roman"/>
          <w:color w:val="777777"/>
          <w:sz w:val="24"/>
          <w:szCs w:val="24"/>
          <w:lang w:eastAsia="ru-RU"/>
        </w:rPr>
        <w:t xml:space="preserve"> организация), с которым заключен договор энергоснабжения, - кроме случаев, когда его условиями определено, что заявка подается в сетевую организацию;</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 xml:space="preserve">– 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w:t>
      </w:r>
      <w:proofErr w:type="spellStart"/>
      <w:r w:rsidRPr="0083611F">
        <w:rPr>
          <w:rFonts w:ascii="Times New Roman" w:eastAsia="Times New Roman" w:hAnsi="Times New Roman" w:cs="Times New Roman"/>
          <w:color w:val="777777"/>
          <w:sz w:val="24"/>
          <w:szCs w:val="24"/>
          <w:lang w:eastAsia="ru-RU"/>
        </w:rPr>
        <w:t>энергопринимающие</w:t>
      </w:r>
      <w:proofErr w:type="spellEnd"/>
      <w:r w:rsidRPr="0083611F">
        <w:rPr>
          <w:rFonts w:ascii="Times New Roman" w:eastAsia="Times New Roman" w:hAnsi="Times New Roman" w:cs="Times New Roman"/>
          <w:color w:val="777777"/>
          <w:sz w:val="24"/>
          <w:szCs w:val="24"/>
          <w:lang w:eastAsia="ru-RU"/>
        </w:rPr>
        <w:t xml:space="preserve"> устройства Потребителя,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В таком запросе должны быть указаны:</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 реквизиты и контактные данные лица, направившего запрос, включая номер телефона;</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 xml:space="preserve">место нахождения и технические характеристики </w:t>
      </w:r>
      <w:proofErr w:type="spellStart"/>
      <w:r w:rsidRPr="0083611F">
        <w:rPr>
          <w:rFonts w:ascii="Times New Roman" w:eastAsia="Times New Roman" w:hAnsi="Times New Roman" w:cs="Times New Roman"/>
          <w:color w:val="777777"/>
          <w:sz w:val="24"/>
          <w:szCs w:val="24"/>
          <w:lang w:eastAsia="ru-RU"/>
        </w:rPr>
        <w:t>энергопринимающих</w:t>
      </w:r>
      <w:proofErr w:type="spellEnd"/>
      <w:r w:rsidRPr="0083611F">
        <w:rPr>
          <w:rFonts w:ascii="Times New Roman" w:eastAsia="Times New Roman" w:hAnsi="Times New Roman" w:cs="Times New Roman"/>
          <w:color w:val="777777"/>
          <w:sz w:val="24"/>
          <w:szCs w:val="24"/>
          <w:lang w:eastAsia="ru-RU"/>
        </w:rPr>
        <w:t xml:space="preserve"> устройств,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 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 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 xml:space="preserve">Основным техническим параметром электросчетчика является «класс точности», который указывает на уровень погрешности измерений прибора. </w:t>
      </w:r>
      <w:proofErr w:type="gramStart"/>
      <w:r w:rsidRPr="0083611F">
        <w:rPr>
          <w:rFonts w:ascii="Times New Roman" w:eastAsia="Times New Roman" w:hAnsi="Times New Roman" w:cs="Times New Roman"/>
          <w:color w:val="777777"/>
          <w:sz w:val="24"/>
          <w:szCs w:val="24"/>
          <w:lang w:eastAsia="ru-RU"/>
        </w:rPr>
        <w:t xml:space="preserve">В связи с выходом основных </w:t>
      </w:r>
      <w:r w:rsidRPr="0083611F">
        <w:rPr>
          <w:rFonts w:ascii="Times New Roman" w:eastAsia="Times New Roman" w:hAnsi="Times New Roman" w:cs="Times New Roman"/>
          <w:color w:val="777777"/>
          <w:sz w:val="24"/>
          <w:szCs w:val="24"/>
          <w:lang w:eastAsia="ru-RU"/>
        </w:rPr>
        <w:lastRenderedPageBreak/>
        <w:t>положений функционирования розничных рынков электрической энергии введен новый стандарт точности приборов учета (</w:t>
      </w:r>
      <w:hyperlink r:id="rId6" w:tgtFrame="_blank" w:history="1">
        <w:r w:rsidRPr="0083611F">
          <w:rPr>
            <w:rFonts w:ascii="Times New Roman" w:eastAsia="Times New Roman" w:hAnsi="Times New Roman" w:cs="Times New Roman"/>
            <w:color w:val="8C9560"/>
            <w:sz w:val="24"/>
            <w:szCs w:val="24"/>
            <w:u w:val="single"/>
            <w:lang w:eastAsia="ru-RU"/>
          </w:rPr>
          <w:t xml:space="preserve">раздел </w:t>
        </w:r>
        <w:r w:rsidRPr="0083611F">
          <w:rPr>
            <w:rFonts w:ascii="Times New Roman" w:eastAsia="Times New Roman" w:hAnsi="Times New Roman" w:cs="Times New Roman"/>
            <w:color w:val="8C9560"/>
            <w:sz w:val="24"/>
            <w:szCs w:val="24"/>
            <w:u w:val="single"/>
            <w:lang w:val="en" w:eastAsia="ru-RU"/>
          </w:rPr>
          <w:t>X</w:t>
        </w:r>
        <w:r w:rsidRPr="0083611F">
          <w:rPr>
            <w:rFonts w:ascii="Times New Roman" w:eastAsia="Times New Roman" w:hAnsi="Times New Roman" w:cs="Times New Roman"/>
            <w:color w:val="8C9560"/>
            <w:sz w:val="24"/>
            <w:szCs w:val="24"/>
            <w:u w:val="single"/>
            <w:lang w:eastAsia="ru-RU"/>
          </w:rPr>
          <w:t xml:space="preserve"> </w:t>
        </w:r>
        <w:proofErr w:type="spellStart"/>
        <w:r w:rsidRPr="0083611F">
          <w:rPr>
            <w:rFonts w:ascii="Times New Roman" w:eastAsia="Times New Roman" w:hAnsi="Times New Roman" w:cs="Times New Roman"/>
            <w:color w:val="8C9560"/>
            <w:sz w:val="24"/>
            <w:szCs w:val="24"/>
            <w:u w:val="single"/>
            <w:lang w:eastAsia="ru-RU"/>
          </w:rPr>
          <w:t>п.п</w:t>
        </w:r>
        <w:proofErr w:type="spellEnd"/>
        <w:r w:rsidRPr="0083611F">
          <w:rPr>
            <w:rFonts w:ascii="Times New Roman" w:eastAsia="Times New Roman" w:hAnsi="Times New Roman" w:cs="Times New Roman"/>
            <w:color w:val="8C9560"/>
            <w:sz w:val="24"/>
            <w:szCs w:val="24"/>
            <w:u w:val="single"/>
            <w:lang w:eastAsia="ru-RU"/>
          </w:rPr>
          <w:t>. 138; 139 Постановления Правительства Российской Федерации от 04 мая 2012г.</w:t>
        </w:r>
        <w:proofErr w:type="gramEnd"/>
        <w:r w:rsidRPr="0083611F">
          <w:rPr>
            <w:rFonts w:ascii="Times New Roman" w:eastAsia="Times New Roman" w:hAnsi="Times New Roman" w:cs="Times New Roman"/>
            <w:color w:val="8C9560"/>
            <w:sz w:val="24"/>
            <w:szCs w:val="24"/>
            <w:u w:val="single"/>
            <w:lang w:eastAsia="ru-RU"/>
          </w:rPr>
          <w:t xml:space="preserve"> </w:t>
        </w:r>
        <w:r w:rsidRPr="0083611F">
          <w:rPr>
            <w:rFonts w:ascii="Times New Roman" w:eastAsia="Times New Roman" w:hAnsi="Times New Roman" w:cs="Times New Roman"/>
            <w:color w:val="8C9560"/>
            <w:sz w:val="24"/>
            <w:szCs w:val="24"/>
            <w:u w:val="single"/>
            <w:lang w:val="en" w:eastAsia="ru-RU"/>
          </w:rPr>
          <w:t>N</w:t>
        </w:r>
        <w:r w:rsidRPr="0083611F">
          <w:rPr>
            <w:rFonts w:ascii="Times New Roman" w:eastAsia="Times New Roman" w:hAnsi="Times New Roman" w:cs="Times New Roman"/>
            <w:color w:val="8C9560"/>
            <w:sz w:val="24"/>
            <w:szCs w:val="24"/>
            <w:u w:val="single"/>
            <w:lang w:eastAsia="ru-RU"/>
          </w:rPr>
          <w:t>442 «О функционировании розничных рынков электрической энергии, полном и (или) частичном ограничении потребления электрической энергии»</w:t>
        </w:r>
      </w:hyperlink>
      <w:r w:rsidRPr="0083611F">
        <w:rPr>
          <w:rFonts w:ascii="Times New Roman" w:eastAsia="Times New Roman" w:hAnsi="Times New Roman" w:cs="Times New Roman"/>
          <w:color w:val="777777"/>
          <w:sz w:val="24"/>
          <w:szCs w:val="24"/>
          <w:lang w:eastAsia="ru-RU"/>
        </w:rPr>
        <w:t>):</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proofErr w:type="gramStart"/>
      <w:r w:rsidRPr="0083611F">
        <w:rPr>
          <w:rFonts w:ascii="Times New Roman" w:eastAsia="Times New Roman" w:hAnsi="Times New Roman" w:cs="Times New Roman"/>
          <w:color w:val="777777"/>
          <w:sz w:val="24"/>
          <w:szCs w:val="24"/>
          <w:lang w:eastAsia="ru-RU"/>
        </w:rPr>
        <w:t xml:space="preserve">Для учета электрической энергии, потребляемой потребителями,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w:t>
      </w:r>
      <w:proofErr w:type="spellStart"/>
      <w:r w:rsidRPr="0083611F">
        <w:rPr>
          <w:rFonts w:ascii="Times New Roman" w:eastAsia="Times New Roman" w:hAnsi="Times New Roman" w:cs="Times New Roman"/>
          <w:color w:val="777777"/>
          <w:sz w:val="24"/>
          <w:szCs w:val="24"/>
          <w:lang w:eastAsia="ru-RU"/>
        </w:rPr>
        <w:t>кВ</w:t>
      </w:r>
      <w:proofErr w:type="spellEnd"/>
      <w:r w:rsidRPr="0083611F">
        <w:rPr>
          <w:rFonts w:ascii="Times New Roman" w:eastAsia="Times New Roman" w:hAnsi="Times New Roman" w:cs="Times New Roman"/>
          <w:color w:val="777777"/>
          <w:sz w:val="24"/>
          <w:szCs w:val="24"/>
          <w:lang w:eastAsia="ru-RU"/>
        </w:rPr>
        <w:t xml:space="preserve"> и ниже и класса точности 0,5</w:t>
      </w:r>
      <w:r w:rsidRPr="0083611F">
        <w:rPr>
          <w:rFonts w:ascii="Times New Roman" w:eastAsia="Times New Roman" w:hAnsi="Times New Roman" w:cs="Times New Roman"/>
          <w:color w:val="777777"/>
          <w:sz w:val="24"/>
          <w:szCs w:val="24"/>
          <w:lang w:val="en" w:eastAsia="ru-RU"/>
        </w:rPr>
        <w:t>S</w:t>
      </w:r>
      <w:r w:rsidRPr="0083611F">
        <w:rPr>
          <w:rFonts w:ascii="Times New Roman" w:eastAsia="Times New Roman" w:hAnsi="Times New Roman" w:cs="Times New Roman"/>
          <w:color w:val="777777"/>
          <w:sz w:val="24"/>
          <w:szCs w:val="24"/>
          <w:lang w:eastAsia="ru-RU"/>
        </w:rPr>
        <w:t xml:space="preserve"> и выше - для точек присоединения к объектам электросетевого хозяйства напряжением 110 </w:t>
      </w:r>
      <w:proofErr w:type="spellStart"/>
      <w:r w:rsidRPr="0083611F">
        <w:rPr>
          <w:rFonts w:ascii="Times New Roman" w:eastAsia="Times New Roman" w:hAnsi="Times New Roman" w:cs="Times New Roman"/>
          <w:color w:val="777777"/>
          <w:sz w:val="24"/>
          <w:szCs w:val="24"/>
          <w:lang w:eastAsia="ru-RU"/>
        </w:rPr>
        <w:t>кВ</w:t>
      </w:r>
      <w:proofErr w:type="spellEnd"/>
      <w:r w:rsidRPr="0083611F">
        <w:rPr>
          <w:rFonts w:ascii="Times New Roman" w:eastAsia="Times New Roman" w:hAnsi="Times New Roman" w:cs="Times New Roman"/>
          <w:color w:val="777777"/>
          <w:sz w:val="24"/>
          <w:szCs w:val="24"/>
          <w:lang w:eastAsia="ru-RU"/>
        </w:rPr>
        <w:t xml:space="preserve"> и выше.</w:t>
      </w:r>
      <w:proofErr w:type="gramEnd"/>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w:t>
      </w:r>
      <w:r w:rsidRPr="0083611F">
        <w:rPr>
          <w:rFonts w:ascii="Times New Roman" w:eastAsia="Times New Roman" w:hAnsi="Times New Roman" w:cs="Times New Roman"/>
          <w:color w:val="777777"/>
          <w:sz w:val="24"/>
          <w:szCs w:val="24"/>
          <w:lang w:val="en" w:eastAsia="ru-RU"/>
        </w:rPr>
        <w:t>S</w:t>
      </w:r>
      <w:r w:rsidRPr="0083611F">
        <w:rPr>
          <w:rFonts w:ascii="Times New Roman" w:eastAsia="Times New Roman" w:hAnsi="Times New Roman" w:cs="Times New Roman"/>
          <w:color w:val="777777"/>
          <w:sz w:val="24"/>
          <w:szCs w:val="24"/>
          <w:lang w:eastAsia="ru-RU"/>
        </w:rPr>
        <w:t xml:space="preserve"> и выше, обеспечивающие хранение данных о почасовых объемах потребления электрической энергии </w:t>
      </w:r>
      <w:proofErr w:type="gramStart"/>
      <w:r w:rsidRPr="0083611F">
        <w:rPr>
          <w:rFonts w:ascii="Times New Roman" w:eastAsia="Times New Roman" w:hAnsi="Times New Roman" w:cs="Times New Roman"/>
          <w:color w:val="777777"/>
          <w:sz w:val="24"/>
          <w:szCs w:val="24"/>
          <w:lang w:eastAsia="ru-RU"/>
        </w:rPr>
        <w:t>за</w:t>
      </w:r>
      <w:proofErr w:type="gramEnd"/>
      <w:r w:rsidRPr="0083611F">
        <w:rPr>
          <w:rFonts w:ascii="Times New Roman" w:eastAsia="Times New Roman" w:hAnsi="Times New Roman" w:cs="Times New Roman"/>
          <w:color w:val="777777"/>
          <w:sz w:val="24"/>
          <w:szCs w:val="24"/>
          <w:lang w:eastAsia="ru-RU"/>
        </w:rPr>
        <w:t xml:space="preserve"> последние 120 дней и более или включенные в систему учета.</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proofErr w:type="gramStart"/>
      <w:r w:rsidRPr="0083611F">
        <w:rPr>
          <w:rFonts w:ascii="Times New Roman" w:eastAsia="Times New Roman" w:hAnsi="Times New Roman" w:cs="Times New Roman"/>
          <w:color w:val="777777"/>
          <w:sz w:val="24"/>
          <w:szCs w:val="24"/>
          <w:lang w:eastAsia="ru-RU"/>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w:t>
      </w:r>
      <w:proofErr w:type="spellStart"/>
      <w:r w:rsidRPr="0083611F">
        <w:rPr>
          <w:rFonts w:ascii="Times New Roman" w:eastAsia="Times New Roman" w:hAnsi="Times New Roman" w:cs="Times New Roman"/>
          <w:color w:val="777777"/>
          <w:sz w:val="24"/>
          <w:szCs w:val="24"/>
          <w:lang w:eastAsia="ru-RU"/>
        </w:rPr>
        <w:t>энергопринимающих</w:t>
      </w:r>
      <w:proofErr w:type="spellEnd"/>
      <w:r w:rsidRPr="0083611F">
        <w:rPr>
          <w:rFonts w:ascii="Times New Roman" w:eastAsia="Times New Roman" w:hAnsi="Times New Roman" w:cs="Times New Roman"/>
          <w:color w:val="777777"/>
          <w:sz w:val="24"/>
          <w:szCs w:val="24"/>
          <w:lang w:eastAsia="ru-RU"/>
        </w:rPr>
        <w:t xml:space="preserve">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w:t>
      </w:r>
      <w:proofErr w:type="gramEnd"/>
      <w:r w:rsidRPr="0083611F">
        <w:rPr>
          <w:rFonts w:ascii="Times New Roman" w:eastAsia="Times New Roman" w:hAnsi="Times New Roman" w:cs="Times New Roman"/>
          <w:color w:val="777777"/>
          <w:sz w:val="24"/>
          <w:szCs w:val="24"/>
          <w:lang w:eastAsia="ru-RU"/>
        </w:rPr>
        <w:t xml:space="preserve">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В соответствии со схемой подключения все приборы учета разделяются на следующие типы:</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 приборы учета прямого включения;</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 приборы учета трансформаторного включения (с применением измерительных трансформаторов тока и трансформаторов напряжения).</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lastRenderedPageBreak/>
        <w:t xml:space="preserve">Технические параметры и метрологические характеристики счётчиков электрической энергии должны </w:t>
      </w:r>
      <w:proofErr w:type="spellStart"/>
      <w:r w:rsidRPr="0083611F">
        <w:rPr>
          <w:rFonts w:ascii="Times New Roman" w:eastAsia="Times New Roman" w:hAnsi="Times New Roman" w:cs="Times New Roman"/>
          <w:color w:val="777777"/>
          <w:sz w:val="24"/>
          <w:szCs w:val="24"/>
          <w:lang w:eastAsia="ru-RU"/>
        </w:rPr>
        <w:t>соответствоватьтребованиям</w:t>
      </w:r>
      <w:proofErr w:type="spellEnd"/>
      <w:r w:rsidRPr="0083611F">
        <w:rPr>
          <w:rFonts w:ascii="Times New Roman" w:eastAsia="Times New Roman" w:hAnsi="Times New Roman" w:cs="Times New Roman"/>
          <w:color w:val="777777"/>
          <w:sz w:val="24"/>
          <w:szCs w:val="24"/>
          <w:lang w:eastAsia="ru-RU"/>
        </w:rPr>
        <w:t xml:space="preserve"> ГОСТ 52320-2005 Часть 11 «Счетчики электрической энергии», ГОСТ </w:t>
      </w:r>
      <w:proofErr w:type="gramStart"/>
      <w:r w:rsidRPr="0083611F">
        <w:rPr>
          <w:rFonts w:ascii="Times New Roman" w:eastAsia="Times New Roman" w:hAnsi="Times New Roman" w:cs="Times New Roman"/>
          <w:color w:val="777777"/>
          <w:sz w:val="24"/>
          <w:szCs w:val="24"/>
          <w:lang w:eastAsia="ru-RU"/>
        </w:rPr>
        <w:t>Р</w:t>
      </w:r>
      <w:proofErr w:type="gramEnd"/>
      <w:r w:rsidRPr="0083611F">
        <w:rPr>
          <w:rFonts w:ascii="Times New Roman" w:eastAsia="Times New Roman" w:hAnsi="Times New Roman" w:cs="Times New Roman"/>
          <w:color w:val="777777"/>
          <w:sz w:val="24"/>
          <w:szCs w:val="24"/>
          <w:lang w:eastAsia="ru-RU"/>
        </w:rPr>
        <w:t xml:space="preserve"> 52323-2005 Часть 22 «Статические счетчики активной энергии классов точности 0,2</w:t>
      </w:r>
      <w:r w:rsidRPr="0083611F">
        <w:rPr>
          <w:rFonts w:ascii="Times New Roman" w:eastAsia="Times New Roman" w:hAnsi="Times New Roman" w:cs="Times New Roman"/>
          <w:color w:val="777777"/>
          <w:sz w:val="24"/>
          <w:szCs w:val="24"/>
          <w:lang w:val="en" w:eastAsia="ru-RU"/>
        </w:rPr>
        <w:t>S</w:t>
      </w:r>
      <w:r w:rsidRPr="0083611F">
        <w:rPr>
          <w:rFonts w:ascii="Times New Roman" w:eastAsia="Times New Roman" w:hAnsi="Times New Roman" w:cs="Times New Roman"/>
          <w:color w:val="777777"/>
          <w:sz w:val="24"/>
          <w:szCs w:val="24"/>
          <w:lang w:eastAsia="ru-RU"/>
        </w:rPr>
        <w:t xml:space="preserve"> и 0,5</w:t>
      </w:r>
      <w:r w:rsidRPr="0083611F">
        <w:rPr>
          <w:rFonts w:ascii="Times New Roman" w:eastAsia="Times New Roman" w:hAnsi="Times New Roman" w:cs="Times New Roman"/>
          <w:color w:val="777777"/>
          <w:sz w:val="24"/>
          <w:szCs w:val="24"/>
          <w:lang w:val="en" w:eastAsia="ru-RU"/>
        </w:rPr>
        <w:t>S</w:t>
      </w:r>
      <w:r w:rsidRPr="0083611F">
        <w:rPr>
          <w:rFonts w:ascii="Times New Roman" w:eastAsia="Times New Roman" w:hAnsi="Times New Roman" w:cs="Times New Roman"/>
          <w:color w:val="777777"/>
          <w:sz w:val="24"/>
          <w:szCs w:val="24"/>
          <w:lang w:eastAsia="ru-RU"/>
        </w:rPr>
        <w:t>», ГОСТ Р 52322-2005 Часть 21 «Статические счетчики активной энергии классов точности 1 и 2» (для реактивной энергии -ГОСТ Р 52425−2005 «Статические счетчики реактивной энергии»).</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 xml:space="preserve">Каждый установленный расчетный счетчик должен иметь на винтах, крепящих кожух счетчика, пломбы с клеймом </w:t>
      </w:r>
      <w:proofErr w:type="spellStart"/>
      <w:r w:rsidRPr="0083611F">
        <w:rPr>
          <w:rFonts w:ascii="Times New Roman" w:eastAsia="Times New Roman" w:hAnsi="Times New Roman" w:cs="Times New Roman"/>
          <w:color w:val="777777"/>
          <w:sz w:val="24"/>
          <w:szCs w:val="24"/>
          <w:lang w:eastAsia="ru-RU"/>
        </w:rPr>
        <w:t>госповерителя</w:t>
      </w:r>
      <w:proofErr w:type="spellEnd"/>
      <w:r w:rsidRPr="0083611F">
        <w:rPr>
          <w:rFonts w:ascii="Times New Roman" w:eastAsia="Times New Roman" w:hAnsi="Times New Roman" w:cs="Times New Roman"/>
          <w:color w:val="777777"/>
          <w:sz w:val="24"/>
          <w:szCs w:val="24"/>
          <w:lang w:eastAsia="ru-RU"/>
        </w:rPr>
        <w:t xml:space="preserve">, а на зажимной крышке - пломбу сетевой организации. Таким </w:t>
      </w:r>
      <w:proofErr w:type="gramStart"/>
      <w:r w:rsidRPr="0083611F">
        <w:rPr>
          <w:rFonts w:ascii="Times New Roman" w:eastAsia="Times New Roman" w:hAnsi="Times New Roman" w:cs="Times New Roman"/>
          <w:color w:val="777777"/>
          <w:sz w:val="24"/>
          <w:szCs w:val="24"/>
          <w:lang w:eastAsia="ru-RU"/>
        </w:rPr>
        <w:t>образом</w:t>
      </w:r>
      <w:proofErr w:type="gramEnd"/>
      <w:r w:rsidRPr="0083611F">
        <w:rPr>
          <w:rFonts w:ascii="Times New Roman" w:eastAsia="Times New Roman" w:hAnsi="Times New Roman" w:cs="Times New Roman"/>
          <w:color w:val="777777"/>
          <w:sz w:val="24"/>
          <w:szCs w:val="24"/>
          <w:lang w:eastAsia="ru-RU"/>
        </w:rPr>
        <w:t xml:space="preserve"> на расчетном электросчетчике должно быть не менее двух пломб.</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На вновь устанавливаемых трехфазных счетчиках должны быть пломбы государственной поверки с давностью не более 12 месяцев, а на однофазных счетчиках – с давностью не более 2-х лет.</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 xml:space="preserve">Счетчики для расчета </w:t>
      </w:r>
      <w:proofErr w:type="spellStart"/>
      <w:r w:rsidRPr="0083611F">
        <w:rPr>
          <w:rFonts w:ascii="Times New Roman" w:eastAsia="Times New Roman" w:hAnsi="Times New Roman" w:cs="Times New Roman"/>
          <w:color w:val="777777"/>
          <w:sz w:val="24"/>
          <w:szCs w:val="24"/>
          <w:lang w:eastAsia="ru-RU"/>
        </w:rPr>
        <w:t>электроснабжающей</w:t>
      </w:r>
      <w:proofErr w:type="spellEnd"/>
      <w:r w:rsidRPr="0083611F">
        <w:rPr>
          <w:rFonts w:ascii="Times New Roman" w:eastAsia="Times New Roman" w:hAnsi="Times New Roman" w:cs="Times New Roman"/>
          <w:color w:val="777777"/>
          <w:sz w:val="24"/>
          <w:szCs w:val="24"/>
          <w:lang w:eastAsia="ru-RU"/>
        </w:rPr>
        <w:t xml:space="preserve"> организации с потребителями электроэнергии необходимо устанавливать на границе раздела сети (по балансовой принадлежности), в точке присоединения </w:t>
      </w:r>
      <w:proofErr w:type="spellStart"/>
      <w:r w:rsidRPr="0083611F">
        <w:rPr>
          <w:rFonts w:ascii="Times New Roman" w:eastAsia="Times New Roman" w:hAnsi="Times New Roman" w:cs="Times New Roman"/>
          <w:color w:val="777777"/>
          <w:sz w:val="24"/>
          <w:szCs w:val="24"/>
          <w:lang w:eastAsia="ru-RU"/>
        </w:rPr>
        <w:t>энергопринимающего</w:t>
      </w:r>
      <w:proofErr w:type="spellEnd"/>
      <w:r w:rsidRPr="0083611F">
        <w:rPr>
          <w:rFonts w:ascii="Times New Roman" w:eastAsia="Times New Roman" w:hAnsi="Times New Roman" w:cs="Times New Roman"/>
          <w:color w:val="777777"/>
          <w:sz w:val="24"/>
          <w:szCs w:val="24"/>
          <w:lang w:eastAsia="ru-RU"/>
        </w:rPr>
        <w:t xml:space="preserve"> устройства потребителя к объектам электросетевого хозяйства. При отсутствии технической возможности установки прибора учета на границе балансовой принадлежности, расчетный прибор учета подлежит установке в месте, максимально приближенном к границе балансовой принадлежности электрических сетей. </w:t>
      </w:r>
      <w:proofErr w:type="gramStart"/>
      <w:r w:rsidRPr="0083611F">
        <w:rPr>
          <w:rFonts w:ascii="Times New Roman" w:eastAsia="Times New Roman" w:hAnsi="Times New Roman" w:cs="Times New Roman"/>
          <w:color w:val="777777"/>
          <w:sz w:val="24"/>
          <w:szCs w:val="24"/>
          <w:lang w:eastAsia="ru-RU"/>
        </w:rPr>
        <w:t>В этом случае, объем принятой в электрические сети (отпущенной из электрических сетей) электрической энергии корректируется с учетом величины нормативных потерь электрической энергии, возникающих на участке сети от границы балансовой принадлежности электрических сетей до места установки прибора учета.</w:t>
      </w:r>
      <w:proofErr w:type="gramEnd"/>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 xml:space="preserve">Счетчики должны размещаться в </w:t>
      </w:r>
      <w:proofErr w:type="gramStart"/>
      <w:r w:rsidRPr="0083611F">
        <w:rPr>
          <w:rFonts w:ascii="Times New Roman" w:eastAsia="Times New Roman" w:hAnsi="Times New Roman" w:cs="Times New Roman"/>
          <w:color w:val="777777"/>
          <w:sz w:val="24"/>
          <w:szCs w:val="24"/>
          <w:lang w:eastAsia="ru-RU"/>
        </w:rPr>
        <w:t>легко доступных</w:t>
      </w:r>
      <w:proofErr w:type="gramEnd"/>
      <w:r w:rsidRPr="0083611F">
        <w:rPr>
          <w:rFonts w:ascii="Times New Roman" w:eastAsia="Times New Roman" w:hAnsi="Times New Roman" w:cs="Times New Roman"/>
          <w:color w:val="777777"/>
          <w:sz w:val="24"/>
          <w:szCs w:val="24"/>
          <w:lang w:eastAsia="ru-RU"/>
        </w:rPr>
        <w:t xml:space="preserve"> для обслуживания сухих помещениях, в достаточно свободном и не стесненном для работы месте с температурой в зимнее время не ниже 0 °С.</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Не разрешается устанавливать счетчики в помещениях, где по производственным условиям температура может часто превышать +40</w:t>
      </w:r>
      <w:proofErr w:type="gramStart"/>
      <w:r w:rsidRPr="0083611F">
        <w:rPr>
          <w:rFonts w:ascii="Times New Roman" w:eastAsia="Times New Roman" w:hAnsi="Times New Roman" w:cs="Times New Roman"/>
          <w:color w:val="777777"/>
          <w:sz w:val="24"/>
          <w:szCs w:val="24"/>
          <w:lang w:eastAsia="ru-RU"/>
        </w:rPr>
        <w:t xml:space="preserve"> °С</w:t>
      </w:r>
      <w:proofErr w:type="gramEnd"/>
      <w:r w:rsidRPr="0083611F">
        <w:rPr>
          <w:rFonts w:ascii="Times New Roman" w:eastAsia="Times New Roman" w:hAnsi="Times New Roman" w:cs="Times New Roman"/>
          <w:color w:val="777777"/>
          <w:sz w:val="24"/>
          <w:szCs w:val="24"/>
          <w:lang w:eastAsia="ru-RU"/>
        </w:rPr>
        <w:t>, а также в помещениях с агрессивными средами.</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Допускается размещение счетчиков в неотапливаемых помещениях и коридорах распределительных устройств электростанций и подстанций, а также в шкафах наружной установки. При этом должно быть предусмотрено стационарное их утепление на зимнее время посредством утепляющих шкафов, колпаков с подогревом воздуха внутри них электрической лампой или нагревательным элементом для обеспечения внутри колпака положительной температуры, но не выше +20 °С.</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Счетчики должны устанавливаться в шкафах, камерах комплектных распределительных устройств (КРУ, КРУН), на панелях, щитах, в нишах, на стенах, имеющих жесткую конструкцию.</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Допускается крепление счетчиков на деревянных, пластмассовых или металлических щитках. Высота от пола до коробки зажимов счетчиков должна быть в пределах 0,8 - 1,7 м. Допускается высота менее 0,8 м, но не менее 0,4 м.</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 xml:space="preserve">В местах, где имеется опасность механических повреждений счетчиков или их загрязнения, или в местах, доступных для посторонних лиц (проходы, лестничные клетки и т.п.), для счетчиков должен предусматриваться запирающийся шкаф с окошком на уровне циферблата. Аналогичные шкафы должны устанавливаться также для совместного </w:t>
      </w:r>
      <w:r w:rsidRPr="0083611F">
        <w:rPr>
          <w:rFonts w:ascii="Times New Roman" w:eastAsia="Times New Roman" w:hAnsi="Times New Roman" w:cs="Times New Roman"/>
          <w:color w:val="777777"/>
          <w:sz w:val="24"/>
          <w:szCs w:val="24"/>
          <w:lang w:eastAsia="ru-RU"/>
        </w:rPr>
        <w:lastRenderedPageBreak/>
        <w:t>размещения счетчиков и трансформаторов тока при выполнении учета на стороне низшего напряжения (на вводе у потребителей).</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Конструкции и размеры шкафов, ниш, щитков и т.п. должны обеспечивать удобный доступ к зажимам счетчиков и трансформаторов тока. Кроме того, должна быть обеспечена возможность удобной замены счетчика и установки его с уклоном не более 1°. Конструкция его крепления должна обеспечивать возможность установки и съема счетчика с лицевой стороны.</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Для безопасной установки и замены счетчиков в сетях напряжением до 380В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rsidR="00202859" w:rsidRPr="0083611F" w:rsidRDefault="00202859" w:rsidP="00202859">
      <w:pPr>
        <w:spacing w:after="18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t>Трансформаторы тока, используемые для присоединения счетчиков на напряжении до 380</w:t>
      </w:r>
      <w:proofErr w:type="gramStart"/>
      <w:r w:rsidRPr="0083611F">
        <w:rPr>
          <w:rFonts w:ascii="Times New Roman" w:eastAsia="Times New Roman" w:hAnsi="Times New Roman" w:cs="Times New Roman"/>
          <w:color w:val="777777"/>
          <w:sz w:val="24"/>
          <w:szCs w:val="24"/>
          <w:lang w:eastAsia="ru-RU"/>
        </w:rPr>
        <w:t xml:space="preserve"> В</w:t>
      </w:r>
      <w:proofErr w:type="gramEnd"/>
      <w:r w:rsidRPr="0083611F">
        <w:rPr>
          <w:rFonts w:ascii="Times New Roman" w:eastAsia="Times New Roman" w:hAnsi="Times New Roman" w:cs="Times New Roman"/>
          <w:color w:val="777777"/>
          <w:sz w:val="24"/>
          <w:szCs w:val="24"/>
          <w:lang w:eastAsia="ru-RU"/>
        </w:rPr>
        <w:t xml:space="preserve">, должны устанавливаться после коммутационных аппаратов по направлению потока мощности. </w:t>
      </w:r>
    </w:p>
    <w:p w:rsidR="00202859" w:rsidRPr="0083611F" w:rsidRDefault="00202859" w:rsidP="00202859">
      <w:pPr>
        <w:spacing w:after="0" w:line="285" w:lineRule="atLeast"/>
        <w:rPr>
          <w:rFonts w:ascii="Times New Roman" w:eastAsia="Times New Roman" w:hAnsi="Times New Roman" w:cs="Times New Roman"/>
          <w:color w:val="777777"/>
          <w:sz w:val="24"/>
          <w:szCs w:val="24"/>
          <w:lang w:eastAsia="ru-RU"/>
        </w:rPr>
      </w:pPr>
      <w:r w:rsidRPr="0083611F">
        <w:rPr>
          <w:rFonts w:ascii="Times New Roman" w:eastAsia="Times New Roman" w:hAnsi="Times New Roman" w:cs="Times New Roman"/>
          <w:color w:val="777777"/>
          <w:sz w:val="24"/>
          <w:szCs w:val="24"/>
          <w:lang w:eastAsia="ru-RU"/>
        </w:rPr>
        <w:br/>
      </w:r>
    </w:p>
    <w:sectPr w:rsidR="00202859" w:rsidRPr="00836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807"/>
    <w:multiLevelType w:val="multilevel"/>
    <w:tmpl w:val="261E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60"/>
    <w:rsid w:val="00202859"/>
    <w:rsid w:val="0083611F"/>
    <w:rsid w:val="00934500"/>
    <w:rsid w:val="00BF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02859"/>
    <w:pPr>
      <w:spacing w:before="100" w:beforeAutospacing="1" w:after="150" w:line="360" w:lineRule="atLeast"/>
      <w:outlineLvl w:val="3"/>
    </w:pPr>
    <w:rPr>
      <w:rFonts w:ascii="Arial" w:eastAsia="Times New Roman" w:hAnsi="Arial" w:cs="Arial"/>
      <w:b/>
      <w:bCs/>
      <w:color w:val="44444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02859"/>
    <w:rPr>
      <w:rFonts w:ascii="Arial" w:eastAsia="Times New Roman" w:hAnsi="Arial" w:cs="Arial"/>
      <w:b/>
      <w:bCs/>
      <w:color w:val="444444"/>
      <w:sz w:val="24"/>
      <w:szCs w:val="24"/>
      <w:lang w:eastAsia="ru-RU"/>
    </w:rPr>
  </w:style>
  <w:style w:type="character" w:styleId="a3">
    <w:name w:val="Hyperlink"/>
    <w:basedOn w:val="a0"/>
    <w:uiPriority w:val="99"/>
    <w:semiHidden/>
    <w:unhideWhenUsed/>
    <w:rsid w:val="00202859"/>
    <w:rPr>
      <w:color w:val="8C9560"/>
      <w:u w:val="single"/>
    </w:rPr>
  </w:style>
  <w:style w:type="paragraph" w:styleId="a4">
    <w:name w:val="Normal (Web)"/>
    <w:basedOn w:val="a"/>
    <w:uiPriority w:val="99"/>
    <w:semiHidden/>
    <w:unhideWhenUsed/>
    <w:rsid w:val="00202859"/>
    <w:pPr>
      <w:spacing w:after="180" w:line="285"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02859"/>
    <w:pPr>
      <w:spacing w:before="100" w:beforeAutospacing="1" w:after="150" w:line="360" w:lineRule="atLeast"/>
      <w:outlineLvl w:val="3"/>
    </w:pPr>
    <w:rPr>
      <w:rFonts w:ascii="Arial" w:eastAsia="Times New Roman" w:hAnsi="Arial" w:cs="Arial"/>
      <w:b/>
      <w:bCs/>
      <w:color w:val="44444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02859"/>
    <w:rPr>
      <w:rFonts w:ascii="Arial" w:eastAsia="Times New Roman" w:hAnsi="Arial" w:cs="Arial"/>
      <w:b/>
      <w:bCs/>
      <w:color w:val="444444"/>
      <w:sz w:val="24"/>
      <w:szCs w:val="24"/>
      <w:lang w:eastAsia="ru-RU"/>
    </w:rPr>
  </w:style>
  <w:style w:type="character" w:styleId="a3">
    <w:name w:val="Hyperlink"/>
    <w:basedOn w:val="a0"/>
    <w:uiPriority w:val="99"/>
    <w:semiHidden/>
    <w:unhideWhenUsed/>
    <w:rsid w:val="00202859"/>
    <w:rPr>
      <w:color w:val="8C9560"/>
      <w:u w:val="single"/>
    </w:rPr>
  </w:style>
  <w:style w:type="paragraph" w:styleId="a4">
    <w:name w:val="Normal (Web)"/>
    <w:basedOn w:val="a"/>
    <w:uiPriority w:val="99"/>
    <w:semiHidden/>
    <w:unhideWhenUsed/>
    <w:rsid w:val="00202859"/>
    <w:pPr>
      <w:spacing w:after="180" w:line="285"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82162">
      <w:bodyDiv w:val="1"/>
      <w:marLeft w:val="0"/>
      <w:marRight w:val="0"/>
      <w:marTop w:val="0"/>
      <w:marBottom w:val="0"/>
      <w:divBdr>
        <w:top w:val="none" w:sz="0" w:space="0" w:color="auto"/>
        <w:left w:val="none" w:sz="0" w:space="0" w:color="auto"/>
        <w:bottom w:val="none" w:sz="0" w:space="0" w:color="auto"/>
        <w:right w:val="none" w:sz="0" w:space="0" w:color="auto"/>
      </w:divBdr>
      <w:divsChild>
        <w:div w:id="1454862085">
          <w:marLeft w:val="0"/>
          <w:marRight w:val="0"/>
          <w:marTop w:val="0"/>
          <w:marBottom w:val="0"/>
          <w:divBdr>
            <w:top w:val="none" w:sz="0" w:space="0" w:color="auto"/>
            <w:left w:val="none" w:sz="0" w:space="0" w:color="auto"/>
            <w:bottom w:val="none" w:sz="0" w:space="0" w:color="auto"/>
            <w:right w:val="none" w:sz="0" w:space="0" w:color="auto"/>
          </w:divBdr>
          <w:divsChild>
            <w:div w:id="1800489041">
              <w:marLeft w:val="0"/>
              <w:marRight w:val="0"/>
              <w:marTop w:val="0"/>
              <w:marBottom w:val="0"/>
              <w:divBdr>
                <w:top w:val="none" w:sz="0" w:space="0" w:color="auto"/>
                <w:left w:val="none" w:sz="0" w:space="0" w:color="auto"/>
                <w:bottom w:val="none" w:sz="0" w:space="0" w:color="auto"/>
                <w:right w:val="none" w:sz="0" w:space="0" w:color="auto"/>
              </w:divBdr>
              <w:divsChild>
                <w:div w:id="8682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824">
          <w:marLeft w:val="0"/>
          <w:marRight w:val="0"/>
          <w:marTop w:val="0"/>
          <w:marBottom w:val="0"/>
          <w:divBdr>
            <w:top w:val="none" w:sz="0" w:space="0" w:color="auto"/>
            <w:left w:val="none" w:sz="0" w:space="0" w:color="auto"/>
            <w:bottom w:val="none" w:sz="0" w:space="0" w:color="auto"/>
            <w:right w:val="none" w:sz="0" w:space="0" w:color="auto"/>
          </w:divBdr>
          <w:divsChild>
            <w:div w:id="987979264">
              <w:marLeft w:val="0"/>
              <w:marRight w:val="0"/>
              <w:marTop w:val="0"/>
              <w:marBottom w:val="0"/>
              <w:divBdr>
                <w:top w:val="none" w:sz="0" w:space="0" w:color="auto"/>
                <w:left w:val="none" w:sz="0" w:space="0" w:color="auto"/>
                <w:bottom w:val="none" w:sz="0" w:space="0" w:color="auto"/>
                <w:right w:val="none" w:sz="0" w:space="0" w:color="auto"/>
              </w:divBdr>
              <w:divsChild>
                <w:div w:id="1095129588">
                  <w:marLeft w:val="0"/>
                  <w:marRight w:val="0"/>
                  <w:marTop w:val="0"/>
                  <w:marBottom w:val="0"/>
                  <w:divBdr>
                    <w:top w:val="none" w:sz="0" w:space="0" w:color="auto"/>
                    <w:left w:val="none" w:sz="0" w:space="0" w:color="auto"/>
                    <w:bottom w:val="none" w:sz="0" w:space="0" w:color="auto"/>
                    <w:right w:val="none" w:sz="0" w:space="0" w:color="auto"/>
                  </w:divBdr>
                  <w:divsChild>
                    <w:div w:id="1274560141">
                      <w:marLeft w:val="0"/>
                      <w:marRight w:val="0"/>
                      <w:marTop w:val="0"/>
                      <w:marBottom w:val="0"/>
                      <w:divBdr>
                        <w:top w:val="none" w:sz="0" w:space="0" w:color="auto"/>
                        <w:left w:val="none" w:sz="0" w:space="0" w:color="auto"/>
                        <w:bottom w:val="none" w:sz="0" w:space="0" w:color="auto"/>
                        <w:right w:val="none" w:sz="0" w:space="0" w:color="auto"/>
                      </w:divBdr>
                      <w:divsChild>
                        <w:div w:id="304238776">
                          <w:marLeft w:val="0"/>
                          <w:marRight w:val="0"/>
                          <w:marTop w:val="0"/>
                          <w:marBottom w:val="0"/>
                          <w:divBdr>
                            <w:top w:val="none" w:sz="0" w:space="0" w:color="auto"/>
                            <w:left w:val="none" w:sz="0" w:space="0" w:color="auto"/>
                            <w:bottom w:val="none" w:sz="0" w:space="0" w:color="auto"/>
                            <w:right w:val="none" w:sz="0" w:space="0" w:color="auto"/>
                          </w:divBdr>
                          <w:divsChild>
                            <w:div w:id="1312293461">
                              <w:marLeft w:val="0"/>
                              <w:marRight w:val="0"/>
                              <w:marTop w:val="0"/>
                              <w:marBottom w:val="0"/>
                              <w:divBdr>
                                <w:top w:val="none" w:sz="0" w:space="0" w:color="auto"/>
                                <w:left w:val="none" w:sz="0" w:space="0" w:color="auto"/>
                                <w:bottom w:val="none" w:sz="0" w:space="0" w:color="auto"/>
                                <w:right w:val="none" w:sz="0" w:space="0" w:color="auto"/>
                              </w:divBdr>
                              <w:divsChild>
                                <w:div w:id="14515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e.mrsk-cp.ru/images/stories/I-priem/laws/PP_530_355.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Дикамов Александр Н.</dc:creator>
  <cp:keywords/>
  <dc:description/>
  <cp:lastModifiedBy>Дикамов Александр Н.</cp:lastModifiedBy>
  <cp:revision>4</cp:revision>
  <dcterms:created xsi:type="dcterms:W3CDTF">2015-09-21T12:16:00Z</dcterms:created>
  <dcterms:modified xsi:type="dcterms:W3CDTF">2015-09-22T03:43:00Z</dcterms:modified>
</cp:coreProperties>
</file>